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74646026"/>
        <w:docPartObj>
          <w:docPartGallery w:val="Cover Pages"/>
          <w:docPartUnique/>
        </w:docPartObj>
      </w:sdtPr>
      <w:sdtContent>
        <w:p w14:paraId="1B97C2F2" w14:textId="77777777" w:rsidR="00791E5D" w:rsidRDefault="00791E5D">
          <w:r>
            <w:rPr>
              <w:noProof/>
            </w:rPr>
            <mc:AlternateContent>
              <mc:Choice Requires="wpg">
                <w:drawing>
                  <wp:anchor distT="0" distB="0" distL="114300" distR="114300" simplePos="0" relativeHeight="251659264" behindDoc="1" locked="0" layoutInCell="1" allowOverlap="1" wp14:anchorId="5266C387" wp14:editId="4B67F87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E1FEDA" w14:textId="77777777" w:rsidR="00AD3AC5" w:rsidRPr="00AD3AC5" w:rsidRDefault="00AD3AC5" w:rsidP="00AD3AC5">
                                  <w:pPr>
                                    <w:pStyle w:val="xxmsonormal"/>
                                    <w:shd w:val="clear" w:color="auto" w:fill="FFFFFF"/>
                                    <w:spacing w:before="0" w:beforeAutospacing="0" w:after="0" w:afterAutospacing="0"/>
                                    <w:jc w:val="center"/>
                                    <w:rPr>
                                      <w:rFonts w:ascii="Aptos" w:hAnsi="Aptos"/>
                                      <w:color w:val="242424"/>
                                    </w:rPr>
                                  </w:pPr>
                                  <w:r w:rsidRPr="00AD3AC5">
                                    <w:rPr>
                                      <w:rFonts w:ascii="inherit" w:hAnsi="inherit"/>
                                      <w:i/>
                                      <w:iCs/>
                                      <w:color w:val="242424"/>
                                      <w:bdr w:val="none" w:sz="0" w:space="0" w:color="auto" w:frame="1"/>
                                    </w:rPr>
                                    <w:t>Egypt Education at HMNS is generously supported by Apache Corporation.</w:t>
                                  </w:r>
                                </w:p>
                                <w:p w14:paraId="1CFAE902" w14:textId="77777777" w:rsidR="00AD3AC5" w:rsidRPr="00AD3AC5" w:rsidRDefault="00AD3AC5" w:rsidP="00AD3AC5">
                                  <w:pPr>
                                    <w:pStyle w:val="xxmsonormal"/>
                                    <w:shd w:val="clear" w:color="auto" w:fill="FFFFFF"/>
                                    <w:spacing w:before="0" w:beforeAutospacing="0" w:after="0" w:afterAutospacing="0"/>
                                    <w:jc w:val="center"/>
                                    <w:rPr>
                                      <w:rFonts w:ascii="Aptos" w:hAnsi="Aptos"/>
                                      <w:color w:val="242424"/>
                                    </w:rPr>
                                  </w:pPr>
                                  <w:r w:rsidRPr="00AD3AC5">
                                    <w:rPr>
                                      <w:rFonts w:ascii="inherit" w:hAnsi="inherit"/>
                                      <w:color w:val="242424"/>
                                      <w:bdr w:val="none" w:sz="0" w:space="0" w:color="auto" w:frame="1"/>
                                    </w:rPr>
                                    <w:t>Developed by </w:t>
                                  </w:r>
                                  <w:proofErr w:type="spellStart"/>
                                  <w:r w:rsidRPr="00AD3AC5">
                                    <w:rPr>
                                      <w:rFonts w:ascii="inherit" w:hAnsi="inherit"/>
                                      <w:i/>
                                      <w:iCs/>
                                      <w:color w:val="242424"/>
                                      <w:bdr w:val="none" w:sz="0" w:space="0" w:color="auto" w:frame="1"/>
                                    </w:rPr>
                                    <w:t>the</w:t>
                                  </w:r>
                                  <w:r w:rsidRPr="00AD3AC5">
                                    <w:rPr>
                                      <w:rFonts w:ascii="inherit" w:hAnsi="inherit"/>
                                      <w:color w:val="242424"/>
                                      <w:bdr w:val="none" w:sz="0" w:space="0" w:color="auto" w:frame="1"/>
                                    </w:rPr>
                                    <w:t>HoustonMuseum</w:t>
                                  </w:r>
                                  <w:r w:rsidRPr="00AD3AC5">
                                    <w:rPr>
                                      <w:rFonts w:ascii="inherit" w:hAnsi="inherit"/>
                                      <w:i/>
                                      <w:iCs/>
                                      <w:color w:val="242424"/>
                                      <w:bdr w:val="none" w:sz="0" w:space="0" w:color="auto" w:frame="1"/>
                                    </w:rPr>
                                    <w:t>ofnaturalscience</w:t>
                                  </w:r>
                                  <w:proofErr w:type="spellEnd"/>
                                  <w:r w:rsidRPr="00AD3AC5">
                                    <w:rPr>
                                      <w:rFonts w:ascii="inherit" w:hAnsi="inherit"/>
                                      <w:color w:val="242424"/>
                                      <w:bdr w:val="none" w:sz="0" w:space="0" w:color="auto" w:frame="1"/>
                                    </w:rPr>
                                    <w:t>. All rights reserved.</w:t>
                                  </w:r>
                                </w:p>
                                <w:p w14:paraId="193DA39B"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77777777" w:rsidR="00791E5D" w:rsidRPr="00203B6E" w:rsidRDefault="00791E5D"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Ancient Egypt</w:t>
                                  </w:r>
                                </w:p>
                                <w:p w14:paraId="6C2D2DF8"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1E242719" w:rsidR="00791E5D" w:rsidRPr="00791E5D" w:rsidRDefault="005D3879"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9</w:t>
                                  </w:r>
                                  <w:r w:rsidRPr="005D3879">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12</w:t>
                                  </w:r>
                                  <w:r w:rsidR="002B1552" w:rsidRPr="005D3879">
                                    <w:rPr>
                                      <w:rFonts w:ascii="Calibri Light" w:eastAsia="Times New Roman" w:hAnsi="Calibri Light"/>
                                      <w:caps/>
                                      <w:sz w:val="44"/>
                                      <w:szCs w:val="72"/>
                                      <w:vertAlign w:val="superscript"/>
                                    </w:rPr>
                                    <w:t>TH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66C38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74E1FEDA" w14:textId="77777777" w:rsidR="00AD3AC5" w:rsidRPr="00AD3AC5" w:rsidRDefault="00AD3AC5" w:rsidP="00AD3AC5">
                            <w:pPr>
                              <w:pStyle w:val="xxmsonormal"/>
                              <w:shd w:val="clear" w:color="auto" w:fill="FFFFFF"/>
                              <w:spacing w:before="0" w:beforeAutospacing="0" w:after="0" w:afterAutospacing="0"/>
                              <w:jc w:val="center"/>
                              <w:rPr>
                                <w:rFonts w:ascii="Aptos" w:hAnsi="Aptos"/>
                                <w:color w:val="242424"/>
                              </w:rPr>
                            </w:pPr>
                            <w:r w:rsidRPr="00AD3AC5">
                              <w:rPr>
                                <w:rFonts w:ascii="inherit" w:hAnsi="inherit"/>
                                <w:i/>
                                <w:iCs/>
                                <w:color w:val="242424"/>
                                <w:bdr w:val="none" w:sz="0" w:space="0" w:color="auto" w:frame="1"/>
                              </w:rPr>
                              <w:t>Egypt Education at HMNS is generously supported by Apache Corporation.</w:t>
                            </w:r>
                          </w:p>
                          <w:p w14:paraId="1CFAE902" w14:textId="77777777" w:rsidR="00AD3AC5" w:rsidRPr="00AD3AC5" w:rsidRDefault="00AD3AC5" w:rsidP="00AD3AC5">
                            <w:pPr>
                              <w:pStyle w:val="xxmsonormal"/>
                              <w:shd w:val="clear" w:color="auto" w:fill="FFFFFF"/>
                              <w:spacing w:before="0" w:beforeAutospacing="0" w:after="0" w:afterAutospacing="0"/>
                              <w:jc w:val="center"/>
                              <w:rPr>
                                <w:rFonts w:ascii="Aptos" w:hAnsi="Aptos"/>
                                <w:color w:val="242424"/>
                              </w:rPr>
                            </w:pPr>
                            <w:r w:rsidRPr="00AD3AC5">
                              <w:rPr>
                                <w:rFonts w:ascii="inherit" w:hAnsi="inherit"/>
                                <w:color w:val="242424"/>
                                <w:bdr w:val="none" w:sz="0" w:space="0" w:color="auto" w:frame="1"/>
                              </w:rPr>
                              <w:t>Developed by </w:t>
                            </w:r>
                            <w:proofErr w:type="spellStart"/>
                            <w:r w:rsidRPr="00AD3AC5">
                              <w:rPr>
                                <w:rFonts w:ascii="inherit" w:hAnsi="inherit"/>
                                <w:i/>
                                <w:iCs/>
                                <w:color w:val="242424"/>
                                <w:bdr w:val="none" w:sz="0" w:space="0" w:color="auto" w:frame="1"/>
                              </w:rPr>
                              <w:t>the</w:t>
                            </w:r>
                            <w:r w:rsidRPr="00AD3AC5">
                              <w:rPr>
                                <w:rFonts w:ascii="inherit" w:hAnsi="inherit"/>
                                <w:color w:val="242424"/>
                                <w:bdr w:val="none" w:sz="0" w:space="0" w:color="auto" w:frame="1"/>
                              </w:rPr>
                              <w:t>HoustonMuseum</w:t>
                            </w:r>
                            <w:r w:rsidRPr="00AD3AC5">
                              <w:rPr>
                                <w:rFonts w:ascii="inherit" w:hAnsi="inherit"/>
                                <w:i/>
                                <w:iCs/>
                                <w:color w:val="242424"/>
                                <w:bdr w:val="none" w:sz="0" w:space="0" w:color="auto" w:frame="1"/>
                              </w:rPr>
                              <w:t>ofnaturalscience</w:t>
                            </w:r>
                            <w:proofErr w:type="spellEnd"/>
                            <w:r w:rsidRPr="00AD3AC5">
                              <w:rPr>
                                <w:rFonts w:ascii="inherit" w:hAnsi="inherit"/>
                                <w:color w:val="242424"/>
                                <w:bdr w:val="none" w:sz="0" w:space="0" w:color="auto" w:frame="1"/>
                              </w:rPr>
                              <w:t>. All rights reserved.</w:t>
                            </w:r>
                          </w:p>
                          <w:p w14:paraId="193DA39B"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77777777" w:rsidR="00791E5D" w:rsidRPr="00203B6E" w:rsidRDefault="00791E5D"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Ancient Egypt</w:t>
                            </w:r>
                          </w:p>
                          <w:p w14:paraId="6C2D2DF8"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1E242719" w:rsidR="00791E5D" w:rsidRPr="00791E5D" w:rsidRDefault="005D3879"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9</w:t>
                            </w:r>
                            <w:r w:rsidRPr="005D3879">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12</w:t>
                            </w:r>
                            <w:r w:rsidR="002B1552" w:rsidRPr="005D3879">
                              <w:rPr>
                                <w:rFonts w:ascii="Calibri Light" w:eastAsia="Times New Roman" w:hAnsi="Calibri Light"/>
                                <w:caps/>
                                <w:sz w:val="44"/>
                                <w:szCs w:val="72"/>
                                <w:vertAlign w:val="superscript"/>
                              </w:rPr>
                              <w:t>TH GRADE</w:t>
                            </w:r>
                          </w:p>
                        </w:txbxContent>
                      </v:textbox>
                    </v:shape>
                    <w10:wrap anchorx="page" anchory="page"/>
                  </v:group>
                </w:pict>
              </mc:Fallback>
            </mc:AlternateContent>
          </w:r>
        </w:p>
        <w:p w14:paraId="281E8F96" w14:textId="77777777" w:rsidR="00791E5D" w:rsidRDefault="00791E5D">
          <w:r>
            <w:br w:type="page"/>
          </w:r>
        </w:p>
      </w:sdtContent>
    </w:sdt>
    <w:p w14:paraId="377746E2" w14:textId="77777777" w:rsidR="00791E5D" w:rsidRPr="00203B6E" w:rsidRDefault="00791E5D" w:rsidP="00791E5D">
      <w:pPr>
        <w:pStyle w:val="Heading1"/>
        <w:rPr>
          <w:rFonts w:ascii="Calibri" w:hAnsi="Calibri"/>
          <w:b/>
          <w:color w:val="000000"/>
        </w:rPr>
      </w:pPr>
      <w:r w:rsidRPr="00203B6E">
        <w:rPr>
          <w:rFonts w:ascii="Calibri" w:hAnsi="Calibri"/>
          <w:b/>
          <w:color w:val="000000"/>
        </w:rPr>
        <w:lastRenderedPageBreak/>
        <w:t>Dear Educator,</w:t>
      </w:r>
    </w:p>
    <w:p w14:paraId="75E71A53" w14:textId="77777777" w:rsidR="00791E5D" w:rsidRDefault="00791E5D" w:rsidP="00791E5D"/>
    <w:p w14:paraId="3A151100" w14:textId="77777777" w:rsidR="0010178F" w:rsidRDefault="0010178F" w:rsidP="0010178F">
      <w:r>
        <w:t>Thank you for downloading the free online curriculum available at HMNS. We are thrilled that you include the world-renowned Houston Museum of Natural Science in your educational toolkit.</w:t>
      </w:r>
    </w:p>
    <w:p w14:paraId="5539F95A" w14:textId="77777777" w:rsidR="0010178F" w:rsidRDefault="0010178F" w:rsidP="0010178F">
      <w:r>
        <w:t>Here at HMNS, our mission has always been to provide exemplary educational opportunities for the community. Providing educators like you with a free, fully editable curriculum is just one of many ways we are fulfilling that mission.</w:t>
      </w:r>
    </w:p>
    <w:p w14:paraId="6C66DED2" w14:textId="2C1FCF0F" w:rsidR="00791E5D" w:rsidRDefault="0010178F" w:rsidP="0010178F">
      <w:r>
        <w:t>Thank you again, and we hope you enjoy your field trip to HMNS!</w:t>
      </w:r>
    </w:p>
    <w:p w14:paraId="417F0C36" w14:textId="77777777" w:rsidR="00791E5D" w:rsidRDefault="00791E5D" w:rsidP="00791E5D"/>
    <w:p w14:paraId="42043913" w14:textId="77777777" w:rsidR="00791E5D" w:rsidRPr="00203B6E" w:rsidRDefault="00791E5D" w:rsidP="00791E5D">
      <w:pPr>
        <w:pStyle w:val="Heading3"/>
      </w:pPr>
      <w:r w:rsidRPr="00203B6E">
        <w:t>How to use this guide:</w:t>
      </w:r>
    </w:p>
    <w:p w14:paraId="370E765A" w14:textId="167B98EB" w:rsidR="00791E5D" w:rsidRPr="0088687F" w:rsidRDefault="00791E5D" w:rsidP="00791E5D">
      <w:pPr>
        <w:numPr>
          <w:ilvl w:val="0"/>
          <w:numId w:val="1"/>
        </w:numPr>
        <w:spacing w:after="180" w:line="274" w:lineRule="auto"/>
      </w:pPr>
      <w:bookmarkStart w:id="0" w:name="_Hlk175565489"/>
      <w:r w:rsidRPr="0088687F">
        <w:t>Feel free to edit the questions to suit your student group.</w:t>
      </w:r>
    </w:p>
    <w:p w14:paraId="40DF3C7A" w14:textId="04E4F321" w:rsidR="00791E5D" w:rsidRPr="0088687F" w:rsidRDefault="00791E5D" w:rsidP="00791E5D">
      <w:pPr>
        <w:numPr>
          <w:ilvl w:val="0"/>
          <w:numId w:val="1"/>
        </w:numPr>
        <w:spacing w:after="180" w:line="274" w:lineRule="auto"/>
      </w:pPr>
      <w:r w:rsidRPr="0088687F">
        <w:t>The Knowledge Hunt is s</w:t>
      </w:r>
      <w:r>
        <w:t xml:space="preserve">pecifically for the Hall of Ancient Egypt. </w:t>
      </w:r>
    </w:p>
    <w:p w14:paraId="4F1FEFBB" w14:textId="77777777" w:rsidR="00791E5D" w:rsidRPr="0088687F" w:rsidRDefault="00791E5D" w:rsidP="00791E5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173CC9DA" w14:textId="77777777" w:rsidR="00791E5D" w:rsidRPr="0088687F" w:rsidRDefault="00791E5D" w:rsidP="00791E5D">
      <w:pPr>
        <w:numPr>
          <w:ilvl w:val="0"/>
          <w:numId w:val="1"/>
        </w:numPr>
        <w:spacing w:after="180" w:line="274" w:lineRule="auto"/>
      </w:pPr>
      <w:r w:rsidRPr="0088687F">
        <w:t xml:space="preserve">Please ensure that one chaperone </w:t>
      </w:r>
      <w:proofErr w:type="gramStart"/>
      <w:r w:rsidRPr="0088687F">
        <w:t>is with every group of ten students at all times</w:t>
      </w:r>
      <w:proofErr w:type="gramEnd"/>
      <w:r w:rsidRPr="0088687F">
        <w:t xml:space="preserve"> as they complete these activities.</w:t>
      </w:r>
    </w:p>
    <w:bookmarkEnd w:id="0"/>
    <w:p w14:paraId="50EA7EA9" w14:textId="77777777" w:rsidR="00791E5D" w:rsidRPr="0088687F" w:rsidRDefault="00791E5D" w:rsidP="00791E5D"/>
    <w:p w14:paraId="0E85FA6D" w14:textId="77777777" w:rsidR="00443D97" w:rsidRDefault="00443D97" w:rsidP="00443D97">
      <w:pPr>
        <w:rPr>
          <w:rStyle w:val="Hyperlink"/>
          <w:rFonts w:eastAsia="Times New Roman"/>
          <w:b/>
          <w:lang w:val="fr-FR"/>
        </w:rPr>
      </w:pPr>
      <w:bookmarkStart w:id="1" w:name="_Hlk175565520"/>
      <w:r>
        <w:t xml:space="preserve">For TEKS information or questions, contact us at </w:t>
      </w:r>
      <w:hyperlink r:id="rId10" w:history="1">
        <w:r>
          <w:rPr>
            <w:rStyle w:val="Hyperlink"/>
            <w:rFonts w:eastAsia="Times New Roman"/>
            <w:b/>
            <w:lang w:val="fr-FR"/>
          </w:rPr>
          <w:t>curriculum@hmns.org</w:t>
        </w:r>
      </w:hyperlink>
    </w:p>
    <w:p w14:paraId="4F09E7EB" w14:textId="44E4D827" w:rsidR="00443D97" w:rsidRPr="00594B21" w:rsidRDefault="00443D97" w:rsidP="00443D97">
      <w:pPr>
        <w:rPr>
          <w:b/>
          <w:color w:val="000000" w:themeColor="text1"/>
          <w:lang w:val="fr-FR"/>
        </w:rPr>
      </w:pPr>
      <w:r>
        <w:rPr>
          <w:b/>
          <w:color w:val="0000FF"/>
          <w:u w:val="single"/>
          <w:lang w:val="fr-FR"/>
        </w:rPr>
        <w:br w:type="page"/>
      </w:r>
      <w:bookmarkEnd w:id="1"/>
    </w:p>
    <w:p w14:paraId="399A3C78" w14:textId="77777777" w:rsidR="002B1552" w:rsidRDefault="002B1552" w:rsidP="002B1552">
      <w:pPr>
        <w:jc w:val="both"/>
      </w:pPr>
    </w:p>
    <w:p w14:paraId="44FF7607" w14:textId="77777777" w:rsidR="00A231B4" w:rsidRPr="00A231B4" w:rsidRDefault="00A231B4" w:rsidP="00A231B4">
      <w:pPr>
        <w:jc w:val="both"/>
        <w:rPr>
          <w:b/>
          <w:bCs/>
          <w:sz w:val="32"/>
          <w:szCs w:val="32"/>
        </w:rPr>
      </w:pPr>
      <w:r w:rsidRPr="00A231B4">
        <w:rPr>
          <w:b/>
          <w:bCs/>
          <w:sz w:val="32"/>
          <w:szCs w:val="32"/>
        </w:rPr>
        <w:t>Student Instructions</w:t>
      </w:r>
    </w:p>
    <w:p w14:paraId="175FC4AF" w14:textId="77777777" w:rsidR="00A231B4" w:rsidRDefault="00A231B4" w:rsidP="00A231B4">
      <w:pPr>
        <w:jc w:val="both"/>
      </w:pPr>
      <w:r w:rsidRPr="00A231B4">
        <w:t>Work in pairs or small groups as you move through the Hall of Ancient Egypt at the Houston Museum of Natural Science. Use exhibit text panels, maps, reconstructions, and object labels to answer each question. Where a question asks for your opinion or interpretation, support your ideas with specific evidence from what you see and read.​</w:t>
      </w:r>
    </w:p>
    <w:p w14:paraId="2D269402" w14:textId="77777777" w:rsidR="00105ADA" w:rsidRDefault="00105ADA" w:rsidP="00A231B4">
      <w:pPr>
        <w:jc w:val="both"/>
      </w:pPr>
    </w:p>
    <w:p w14:paraId="2421C467" w14:textId="77777777" w:rsidR="00F56079" w:rsidRPr="00F56079" w:rsidRDefault="00F56079" w:rsidP="00F56079">
      <w:pPr>
        <w:jc w:val="both"/>
        <w:rPr>
          <w:b/>
          <w:bCs/>
          <w:sz w:val="32"/>
          <w:szCs w:val="32"/>
        </w:rPr>
      </w:pPr>
      <w:r w:rsidRPr="00F56079">
        <w:rPr>
          <w:b/>
          <w:bCs/>
          <w:sz w:val="32"/>
          <w:szCs w:val="32"/>
        </w:rPr>
        <w:t>Section 1: Geography and Environment</w:t>
      </w:r>
    </w:p>
    <w:p w14:paraId="41456353" w14:textId="6CF97A40" w:rsidR="00DC7C9F" w:rsidRPr="001377E7" w:rsidRDefault="001377E7" w:rsidP="00DC7C9F">
      <w:pPr>
        <w:numPr>
          <w:ilvl w:val="0"/>
          <w:numId w:val="4"/>
        </w:numPr>
        <w:jc w:val="both"/>
      </w:pPr>
      <w:r w:rsidRPr="001377E7">
        <w:t>Identify the continent where Egypt is located and name the major river that shaped ancient Egyptian civilization. Explain at least two ways this river influenced settlement patterns, agriculture, or trade in Egypt.​​</w:t>
      </w:r>
    </w:p>
    <w:p w14:paraId="6709D855" w14:textId="03C4284F" w:rsidR="00AE7BB1" w:rsidRDefault="006221BB" w:rsidP="00AE7BB1">
      <w:pPr>
        <w:numPr>
          <w:ilvl w:val="0"/>
          <w:numId w:val="4"/>
        </w:numPr>
        <w:jc w:val="both"/>
      </w:pPr>
      <w:r>
        <w:t>Several</w:t>
      </w:r>
      <w:r w:rsidR="001377E7" w:rsidRPr="001377E7">
        <w:t xml:space="preserve"> panels describe annual flooding, irrigation, and the creation of fertile land along the river. Using that information, explain how the physical environment of Egypt helped support the development of a complex river</w:t>
      </w:r>
      <w:r w:rsidR="001377E7" w:rsidRPr="001377E7">
        <w:noBreakHyphen/>
        <w:t>valley civilization and compare it to one modern example where a river system still shapes human activity today.​</w:t>
      </w:r>
    </w:p>
    <w:p w14:paraId="5D9184D1" w14:textId="56C47281" w:rsidR="00DC7C9F" w:rsidRPr="001377E7" w:rsidRDefault="00573E5E" w:rsidP="00DC7C9F">
      <w:pPr>
        <w:numPr>
          <w:ilvl w:val="0"/>
          <w:numId w:val="4"/>
        </w:numPr>
        <w:jc w:val="both"/>
      </w:pPr>
      <w:r w:rsidRPr="00573E5E">
        <w:t>Examine any maps that show “Upper” and “Lower” Egypt. Describe where each region is located and how elevation and the direction of the Nile’s flow—not compass direction—explain these terms, then analyze how this geography might affect political or economic unity in a long, narrow river kingdom.</w:t>
      </w:r>
    </w:p>
    <w:p w14:paraId="06115E24" w14:textId="77777777" w:rsidR="001377E7" w:rsidRPr="001377E7" w:rsidRDefault="00000000" w:rsidP="001377E7">
      <w:pPr>
        <w:jc w:val="both"/>
      </w:pPr>
      <w:r>
        <w:pict w14:anchorId="2361BF77">
          <v:rect id="_x0000_i1025" style="width:0;height:.75pt" o:hralign="center" o:hrstd="t" o:hr="t" fillcolor="#a0a0a0" stroked="f"/>
        </w:pict>
      </w:r>
    </w:p>
    <w:p w14:paraId="5FAC3465" w14:textId="77777777" w:rsidR="007C64DE" w:rsidRPr="007C64DE" w:rsidRDefault="007C64DE" w:rsidP="007C64DE">
      <w:pPr>
        <w:jc w:val="both"/>
        <w:rPr>
          <w:b/>
          <w:bCs/>
          <w:sz w:val="32"/>
          <w:szCs w:val="32"/>
        </w:rPr>
      </w:pPr>
      <w:r w:rsidRPr="007C64DE">
        <w:rPr>
          <w:b/>
          <w:bCs/>
          <w:sz w:val="32"/>
          <w:szCs w:val="32"/>
        </w:rPr>
        <w:t>Section 2: Social and Political Structures</w:t>
      </w:r>
    </w:p>
    <w:p w14:paraId="73271DE4" w14:textId="7BFC48EF" w:rsidR="00AE7BB1" w:rsidRPr="007C64DE" w:rsidRDefault="007C64DE" w:rsidP="00AE7BB1">
      <w:pPr>
        <w:numPr>
          <w:ilvl w:val="0"/>
          <w:numId w:val="5"/>
        </w:numPr>
        <w:jc w:val="both"/>
      </w:pPr>
      <w:r w:rsidRPr="007C64DE">
        <w:t>Find displays that discuss the role of the pharaoh or kingship. Identify at least three major responsibilities of the pharaoh and explain how these duties combined religious, political, and military authority into a single position of power.​​</w:t>
      </w:r>
    </w:p>
    <w:p w14:paraId="53EAB0F2" w14:textId="70C85614" w:rsidR="00AE7BB1" w:rsidRPr="007C64DE" w:rsidRDefault="00105ADA" w:rsidP="00AE7BB1">
      <w:pPr>
        <w:numPr>
          <w:ilvl w:val="0"/>
          <w:numId w:val="5"/>
        </w:numPr>
        <w:jc w:val="both"/>
      </w:pPr>
      <w:r>
        <w:t>Find text that</w:t>
      </w:r>
      <w:r w:rsidR="007C64DE" w:rsidRPr="007C64DE">
        <w:t xml:space="preserve"> refer</w:t>
      </w:r>
      <w:r w:rsidR="003D7EBD">
        <w:t>s</w:t>
      </w:r>
      <w:r w:rsidR="007C64DE" w:rsidRPr="007C64DE">
        <w:t xml:space="preserve"> to scribes, officials, and specialized artisans. Using evidence from at least two different text panels or cases, describe how specialization of labor and a social hierarchy supported the functioning of the Egyptian state.​​</w:t>
      </w:r>
    </w:p>
    <w:p w14:paraId="065215D3" w14:textId="77B2D9BF" w:rsidR="007C64DE" w:rsidRPr="007C64DE" w:rsidRDefault="007C64DE" w:rsidP="007C64DE">
      <w:pPr>
        <w:numPr>
          <w:ilvl w:val="0"/>
          <w:numId w:val="5"/>
        </w:numPr>
        <w:jc w:val="both"/>
      </w:pPr>
      <w:r w:rsidRPr="007C64DE">
        <w:t xml:space="preserve">In the United States, the power to make laws is held by a legislative branch rather than a single ruler. Compare the concentration of power in the pharaoh with how political power is distributed in a modern representative </w:t>
      </w:r>
      <w:r w:rsidR="00B16C4D" w:rsidRPr="007C64DE">
        <w:t>government and</w:t>
      </w:r>
      <w:r w:rsidRPr="007C64DE">
        <w:t xml:space="preserve"> discuss one advantage and one disadvantage of each system.​​</w:t>
      </w:r>
    </w:p>
    <w:p w14:paraId="001E43F5" w14:textId="77777777" w:rsidR="00F56079" w:rsidRDefault="00F56079" w:rsidP="00A231B4">
      <w:pPr>
        <w:jc w:val="both"/>
      </w:pPr>
    </w:p>
    <w:p w14:paraId="2290D063" w14:textId="77777777" w:rsidR="00DC7C27" w:rsidRDefault="00DC7C27" w:rsidP="00A231B4">
      <w:pPr>
        <w:jc w:val="both"/>
      </w:pPr>
    </w:p>
    <w:p w14:paraId="7A0B66BE" w14:textId="77777777" w:rsidR="00DC7C27" w:rsidRPr="00DC7C27" w:rsidRDefault="00DC7C27" w:rsidP="00DC7C27">
      <w:pPr>
        <w:jc w:val="both"/>
        <w:rPr>
          <w:b/>
          <w:bCs/>
          <w:sz w:val="32"/>
          <w:szCs w:val="32"/>
        </w:rPr>
      </w:pPr>
      <w:r w:rsidRPr="00DC7C27">
        <w:rPr>
          <w:b/>
          <w:bCs/>
          <w:sz w:val="32"/>
          <w:szCs w:val="32"/>
        </w:rPr>
        <w:t>Section 3: Religion, Beliefs, and Daily Life</w:t>
      </w:r>
    </w:p>
    <w:p w14:paraId="61B6A3C2" w14:textId="0BD30A39" w:rsidR="008D2686" w:rsidRPr="00DC7C27" w:rsidRDefault="00DC7C27" w:rsidP="008D2686">
      <w:pPr>
        <w:numPr>
          <w:ilvl w:val="0"/>
          <w:numId w:val="6"/>
        </w:numPr>
        <w:jc w:val="both"/>
      </w:pPr>
      <w:r w:rsidRPr="00DC7C27">
        <w:t>Locate a panel or display that describes Egyptian religious beliefs about the afterlife. Summarize the key ideas about judgment, the soul, and the afterlife, and cite at least one type of object or practice used to prepare for life after death.​​</w:t>
      </w:r>
    </w:p>
    <w:p w14:paraId="3858413C" w14:textId="3B025934" w:rsidR="008D2686" w:rsidRPr="00DC7C27" w:rsidRDefault="00DC7C27" w:rsidP="008D2686">
      <w:pPr>
        <w:numPr>
          <w:ilvl w:val="0"/>
          <w:numId w:val="6"/>
        </w:numPr>
        <w:jc w:val="both"/>
      </w:pPr>
      <w:r w:rsidRPr="00DC7C27">
        <w:t>Examine any case that includes household or protective deities, medical remedies, or charms. Describe one practice or object meant to protect health or bring good fortune, then evaluate its effectiveness from a modern scientific or medical perspective.​​</w:t>
      </w:r>
    </w:p>
    <w:p w14:paraId="7631EE59" w14:textId="3EDD7DBC" w:rsidR="00224C4A" w:rsidRDefault="00DC7C27" w:rsidP="00224C4A">
      <w:pPr>
        <w:numPr>
          <w:ilvl w:val="0"/>
          <w:numId w:val="6"/>
        </w:numPr>
        <w:jc w:val="both"/>
      </w:pPr>
      <w:r w:rsidRPr="00DC7C27">
        <w:t xml:space="preserve">Look for information about temples, offerings, or festivals. Explain how religion shaped public spaces and community life in ancient </w:t>
      </w:r>
      <w:r w:rsidR="00224C4A" w:rsidRPr="00DC7C27">
        <w:t>Egypt and</w:t>
      </w:r>
      <w:r w:rsidRPr="00DC7C27">
        <w:t xml:space="preserve"> give one example of how religious practice could reinforce the authority of the state.​​</w:t>
      </w:r>
    </w:p>
    <w:p w14:paraId="146D9556" w14:textId="5D46EE0E" w:rsidR="00B614DF" w:rsidRDefault="00000000" w:rsidP="00B614DF">
      <w:pPr>
        <w:jc w:val="both"/>
      </w:pPr>
      <w:r>
        <w:pict w14:anchorId="4B06C1D5">
          <v:rect id="_x0000_i1026" style="width:0;height:.75pt" o:hralign="center" o:hrstd="t" o:hr="t" fillcolor="#a0a0a0" stroked="f"/>
        </w:pict>
      </w:r>
    </w:p>
    <w:p w14:paraId="07C6473A" w14:textId="77777777" w:rsidR="003D6F5C" w:rsidRPr="003D6F5C" w:rsidRDefault="003D6F5C" w:rsidP="003D6F5C">
      <w:pPr>
        <w:jc w:val="both"/>
        <w:rPr>
          <w:b/>
          <w:bCs/>
          <w:sz w:val="32"/>
          <w:szCs w:val="32"/>
        </w:rPr>
      </w:pPr>
      <w:r w:rsidRPr="003D6F5C">
        <w:rPr>
          <w:b/>
          <w:bCs/>
          <w:sz w:val="32"/>
          <w:szCs w:val="32"/>
        </w:rPr>
        <w:t>Section 4: Art, Architecture, and Technology</w:t>
      </w:r>
    </w:p>
    <w:p w14:paraId="6BCC512C" w14:textId="67780192" w:rsidR="00001957" w:rsidRPr="003D6F5C" w:rsidRDefault="003D6F5C" w:rsidP="00001957">
      <w:pPr>
        <w:numPr>
          <w:ilvl w:val="0"/>
          <w:numId w:val="7"/>
        </w:numPr>
        <w:jc w:val="both"/>
      </w:pPr>
      <w:r w:rsidRPr="003D6F5C">
        <w:t>Choose one example of monumental architecture featured in the hall (for example, temple columns, statues, or a reconstruction of a tomb or shrine). Describe the materials, scale, and decorative features, and explain how this structure communicated power, religious belief, or social status.​​</w:t>
      </w:r>
    </w:p>
    <w:p w14:paraId="03F816D8" w14:textId="38C5D804" w:rsidR="00001957" w:rsidRPr="003D6F5C" w:rsidRDefault="003D6F5C" w:rsidP="00001957">
      <w:pPr>
        <w:numPr>
          <w:ilvl w:val="0"/>
          <w:numId w:val="7"/>
        </w:numPr>
        <w:jc w:val="both"/>
      </w:pPr>
      <w:r w:rsidRPr="003D6F5C">
        <w:t>Examine at least two different works of Egyptian art (such as reliefs, statues, coffins, or painted panels). Identify visual conventions like frontal shoulders with profile heads, size hierarchies, or use of color, and explain how these conventions helped convey meaning or organize information.​​</w:t>
      </w:r>
    </w:p>
    <w:p w14:paraId="19B0C650" w14:textId="769F2A4E" w:rsidR="00224C4A" w:rsidRDefault="003D6F5C" w:rsidP="00224C4A">
      <w:pPr>
        <w:numPr>
          <w:ilvl w:val="0"/>
          <w:numId w:val="7"/>
        </w:numPr>
        <w:jc w:val="both"/>
      </w:pPr>
      <w:r w:rsidRPr="003D6F5C">
        <w:t>Identify one technological or artistic innovation you see discussed in the exhibit (examples might include stone carving techniques, pigment preparation, metalwork, or woodworking). Explain how this innovation supported either everyday life, religious practice, or state power.​​</w:t>
      </w:r>
    </w:p>
    <w:p w14:paraId="4B15F0DA" w14:textId="415B7F7B" w:rsidR="00B614DF" w:rsidRPr="00DC7C27" w:rsidRDefault="00000000" w:rsidP="00B614DF">
      <w:pPr>
        <w:jc w:val="both"/>
      </w:pPr>
      <w:r>
        <w:pict w14:anchorId="6476EC7E">
          <v:rect id="_x0000_i1027" style="width:0;height:.75pt" o:hralign="center" o:hrstd="t" o:hr="t" fillcolor="#a0a0a0" stroked="f"/>
        </w:pict>
      </w:r>
    </w:p>
    <w:p w14:paraId="64AD8C52" w14:textId="77777777" w:rsidR="00940517" w:rsidRPr="00940517" w:rsidRDefault="00940517" w:rsidP="00940517">
      <w:pPr>
        <w:jc w:val="both"/>
        <w:rPr>
          <w:b/>
          <w:bCs/>
          <w:sz w:val="32"/>
          <w:szCs w:val="32"/>
        </w:rPr>
      </w:pPr>
      <w:r w:rsidRPr="00940517">
        <w:rPr>
          <w:b/>
          <w:bCs/>
          <w:sz w:val="32"/>
          <w:szCs w:val="32"/>
        </w:rPr>
        <w:t>Section 5: Writing, Language, and Historical Sources</w:t>
      </w:r>
    </w:p>
    <w:p w14:paraId="030DAEBF" w14:textId="7D536CDB" w:rsidR="002F59CA" w:rsidRPr="00940517" w:rsidRDefault="00940517" w:rsidP="002F59CA">
      <w:pPr>
        <w:numPr>
          <w:ilvl w:val="0"/>
          <w:numId w:val="8"/>
        </w:numPr>
        <w:jc w:val="both"/>
      </w:pPr>
      <w:r w:rsidRPr="00940517">
        <w:t>Locate a display on Egyptian writing, such as hieroglyphs, scribes, or writing materials. Define hieroglyphic writing and explain how having multiple scripts (for example, pictorial, cursive, or Greek) affected who could read and write in ancient Egypt.​​</w:t>
      </w:r>
    </w:p>
    <w:p w14:paraId="4F3CF37A" w14:textId="13796F97" w:rsidR="00940517" w:rsidRPr="00940517" w:rsidRDefault="00CE64AF" w:rsidP="00940517">
      <w:pPr>
        <w:numPr>
          <w:ilvl w:val="0"/>
          <w:numId w:val="8"/>
        </w:numPr>
        <w:jc w:val="both"/>
      </w:pPr>
      <w:r>
        <w:t>Examine the replica of</w:t>
      </w:r>
      <w:r w:rsidR="00940517" w:rsidRPr="00940517">
        <w:t xml:space="preserve"> the Rosetta Stone. Explain how inscriptions in more than one language and script allowed modern scholars to decode </w:t>
      </w:r>
      <w:r w:rsidRPr="00940517">
        <w:t>hieroglyphs and</w:t>
      </w:r>
      <w:r w:rsidR="00940517" w:rsidRPr="00940517">
        <w:t xml:space="preserve"> discuss how this decoding changed our understanding of Egyptian history and culture.​​</w:t>
      </w:r>
    </w:p>
    <w:p w14:paraId="70557FEF" w14:textId="77777777" w:rsidR="00940517" w:rsidRPr="00940517" w:rsidRDefault="00940517" w:rsidP="00940517">
      <w:pPr>
        <w:numPr>
          <w:ilvl w:val="0"/>
          <w:numId w:val="8"/>
        </w:numPr>
        <w:jc w:val="both"/>
      </w:pPr>
      <w:r w:rsidRPr="00940517">
        <w:lastRenderedPageBreak/>
        <w:t>Choose one inscription, object label, or text panel that quotes or paraphrases ancient writing. Describe what this source reveals about Egyptian values or concerns (such as justice, piety, family, or loyalty) and evaluate how reliable you think this type of source is for reconstructing daily life.​​</w:t>
      </w:r>
    </w:p>
    <w:p w14:paraId="1B19F441" w14:textId="77777777" w:rsidR="00940517" w:rsidRPr="00940517" w:rsidRDefault="00000000" w:rsidP="00940517">
      <w:pPr>
        <w:jc w:val="both"/>
      </w:pPr>
      <w:r>
        <w:pict w14:anchorId="31F6D09B">
          <v:rect id="_x0000_i1028" style="width:0;height:.75pt" o:hralign="center" o:hrstd="t" o:hr="t" fillcolor="#a0a0a0" stroked="f"/>
        </w:pict>
      </w:r>
    </w:p>
    <w:p w14:paraId="6847AB27" w14:textId="77777777" w:rsidR="00ED5C42" w:rsidRPr="00ED5C42" w:rsidRDefault="00ED5C42" w:rsidP="00ED5C42">
      <w:pPr>
        <w:jc w:val="both"/>
        <w:rPr>
          <w:b/>
          <w:bCs/>
          <w:sz w:val="32"/>
          <w:szCs w:val="32"/>
        </w:rPr>
      </w:pPr>
      <w:r w:rsidRPr="00ED5C42">
        <w:rPr>
          <w:b/>
          <w:bCs/>
          <w:sz w:val="32"/>
          <w:szCs w:val="32"/>
        </w:rPr>
        <w:t>Section 6: Economy, Trade, and Cultural Connections</w:t>
      </w:r>
    </w:p>
    <w:p w14:paraId="207DF174" w14:textId="77777777" w:rsidR="00ED5C42" w:rsidRPr="00ED5C42" w:rsidRDefault="00ED5C42" w:rsidP="00ED5C42">
      <w:pPr>
        <w:numPr>
          <w:ilvl w:val="0"/>
          <w:numId w:val="9"/>
        </w:numPr>
        <w:jc w:val="both"/>
      </w:pPr>
      <w:r w:rsidRPr="00ED5C42">
        <w:t>Look for any map, text panel, or case that mentions trade, imported goods, or foreign peoples (such as Nubians, Libyans, or people from the Mediterranean world). Identify at least two regions connected to Egypt through trade, and explain how geography (the river, deserts, or seas) helped or hindered these connections.​​</w:t>
      </w:r>
    </w:p>
    <w:p w14:paraId="1AA4B367" w14:textId="77777777" w:rsidR="00ED5C42" w:rsidRPr="00ED5C42" w:rsidRDefault="00ED5C42" w:rsidP="00ED5C42">
      <w:pPr>
        <w:numPr>
          <w:ilvl w:val="0"/>
          <w:numId w:val="9"/>
        </w:numPr>
        <w:jc w:val="both"/>
      </w:pPr>
      <w:r w:rsidRPr="00ED5C42">
        <w:t>Examine information about materials such as gold, stone, grains, oils, or textiles. Describe how access to specific natural resources influenced Egypt’s economy and its relationship with neighboring regions.​</w:t>
      </w:r>
    </w:p>
    <w:p w14:paraId="3B833C1A" w14:textId="77777777" w:rsidR="00ED5C42" w:rsidRPr="00ED5C42" w:rsidRDefault="00ED5C42" w:rsidP="00ED5C42">
      <w:pPr>
        <w:numPr>
          <w:ilvl w:val="0"/>
          <w:numId w:val="9"/>
        </w:numPr>
        <w:jc w:val="both"/>
      </w:pPr>
      <w:r w:rsidRPr="00ED5C42">
        <w:t>Some mummies, portraits, or objects in the exhibit may show stylistic influences from Greek or Roman culture. Identify at least one example of cultural blending you observe and explain what it suggests about Egypt’s role in larger Mediterranean and Near Eastern networks.​​</w:t>
      </w:r>
    </w:p>
    <w:p w14:paraId="4A109AB1" w14:textId="4EAC560F" w:rsidR="00DC7C27" w:rsidRDefault="00000000" w:rsidP="00A231B4">
      <w:pPr>
        <w:jc w:val="both"/>
      </w:pPr>
      <w:r>
        <w:pict w14:anchorId="2605FC49">
          <v:rect id="_x0000_i1029" style="width:0;height:.75pt" o:hralign="center" o:hrstd="t" o:hr="t" fillcolor="#a0a0a0" stroked="f"/>
        </w:pict>
      </w:r>
    </w:p>
    <w:p w14:paraId="7AC7F91D" w14:textId="77777777" w:rsidR="00F50047" w:rsidRPr="00F50047" w:rsidRDefault="00F50047" w:rsidP="00F50047">
      <w:pPr>
        <w:jc w:val="both"/>
        <w:rPr>
          <w:b/>
          <w:bCs/>
          <w:sz w:val="32"/>
          <w:szCs w:val="32"/>
        </w:rPr>
      </w:pPr>
      <w:r w:rsidRPr="00F50047">
        <w:rPr>
          <w:b/>
          <w:bCs/>
          <w:sz w:val="32"/>
          <w:szCs w:val="32"/>
        </w:rPr>
        <w:t>Section 7: Historical Thinking and Comparison</w:t>
      </w:r>
    </w:p>
    <w:p w14:paraId="64ACD7C7" w14:textId="77777777" w:rsidR="00F50047" w:rsidRPr="00F50047" w:rsidRDefault="00F50047" w:rsidP="00F50047">
      <w:pPr>
        <w:numPr>
          <w:ilvl w:val="0"/>
          <w:numId w:val="10"/>
        </w:numPr>
        <w:jc w:val="both"/>
      </w:pPr>
      <w:r w:rsidRPr="00F50047">
        <w:t>Choose one aspect of ancient Egyptian civilization you have encountered in the exhibit (for example, burial practices, monumental building, writing systems, or social hierarchy). Compare it to a different ancient civilization you have studied in class, explaining at least one significant similarity and one important difference.​​</w:t>
      </w:r>
    </w:p>
    <w:p w14:paraId="7039AACD" w14:textId="5CC091B1" w:rsidR="0010178F" w:rsidRPr="00F50047" w:rsidRDefault="00F50047" w:rsidP="00F50047">
      <w:pPr>
        <w:numPr>
          <w:ilvl w:val="0"/>
          <w:numId w:val="10"/>
        </w:numPr>
        <w:jc w:val="both"/>
      </w:pPr>
      <w:r w:rsidRPr="00F50047">
        <w:t>Imagine that an archaeologist 3,000 years from now is studying objects from your own life the way we study Egyptian artifacts today. Choose one type of object you own and explain what conclusions that archaeologist might draw about your society’s technology, beliefs, or social structure, and how those conclusions could be accurate or misleading.​​</w:t>
      </w:r>
    </w:p>
    <w:p w14:paraId="405BCFF3" w14:textId="77777777" w:rsidR="0010178F" w:rsidRPr="0010178F" w:rsidRDefault="0010178F" w:rsidP="0010178F"/>
    <w:p w14:paraId="74B15715" w14:textId="463947B2" w:rsidR="007E0E8F" w:rsidRDefault="007E0E8F" w:rsidP="007E0E8F"/>
    <w:sectPr w:rsidR="007E0E8F" w:rsidSect="00F32C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9490" w14:textId="77777777" w:rsidR="00E226B2" w:rsidRDefault="00E226B2" w:rsidP="00791E5D">
      <w:pPr>
        <w:spacing w:after="0" w:line="240" w:lineRule="auto"/>
      </w:pPr>
      <w:r>
        <w:separator/>
      </w:r>
    </w:p>
  </w:endnote>
  <w:endnote w:type="continuationSeparator" w:id="0">
    <w:p w14:paraId="42E52C15" w14:textId="77777777" w:rsidR="00E226B2" w:rsidRDefault="00E226B2" w:rsidP="0079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D3E" w14:textId="77777777" w:rsidR="00FF2652" w:rsidRDefault="00FF2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968229"/>
      <w:docPartObj>
        <w:docPartGallery w:val="Page Numbers (Bottom of Page)"/>
        <w:docPartUnique/>
      </w:docPartObj>
    </w:sdtPr>
    <w:sdtEndPr>
      <w:rPr>
        <w:rFonts w:asciiTheme="minorHAnsi" w:eastAsiaTheme="minorHAnsi" w:hAnsiTheme="minorHAnsi" w:cstheme="minorBidi"/>
        <w:noProof/>
        <w:sz w:val="22"/>
        <w:szCs w:val="22"/>
      </w:rPr>
    </w:sdtEndPr>
    <w:sdtContent>
      <w:p w14:paraId="3D96529E" w14:textId="77777777" w:rsidR="00FF2652" w:rsidRPr="00FF2652" w:rsidRDefault="00FF2652" w:rsidP="00FF2652">
        <w:pPr>
          <w:pStyle w:val="xxmsonormal"/>
          <w:shd w:val="clear" w:color="auto" w:fill="FFFFFF"/>
          <w:spacing w:before="0" w:beforeAutospacing="0" w:after="0" w:afterAutospacing="0"/>
          <w:jc w:val="center"/>
          <w:rPr>
            <w:rFonts w:ascii="Aptos" w:hAnsi="Aptos"/>
            <w:color w:val="242424"/>
            <w:sz w:val="20"/>
            <w:szCs w:val="20"/>
          </w:rPr>
        </w:pPr>
        <w:r w:rsidRPr="00FF2652">
          <w:rPr>
            <w:rFonts w:ascii="inherit" w:hAnsi="inherit"/>
            <w:i/>
            <w:iCs/>
            <w:color w:val="242424"/>
            <w:sz w:val="20"/>
            <w:szCs w:val="20"/>
            <w:bdr w:val="none" w:sz="0" w:space="0" w:color="auto" w:frame="1"/>
          </w:rPr>
          <w:t>Egypt Education at HMNS is generously supported by Apache Corporation.</w:t>
        </w:r>
      </w:p>
      <w:p w14:paraId="4AEC45C6" w14:textId="77777777" w:rsidR="00FF2652" w:rsidRPr="00FF2652" w:rsidRDefault="00FF2652" w:rsidP="00FF2652">
        <w:pPr>
          <w:pStyle w:val="xxmsonormal"/>
          <w:shd w:val="clear" w:color="auto" w:fill="FFFFFF"/>
          <w:spacing w:before="0" w:beforeAutospacing="0" w:after="0" w:afterAutospacing="0"/>
          <w:jc w:val="center"/>
          <w:rPr>
            <w:rFonts w:ascii="Aptos" w:hAnsi="Aptos"/>
            <w:color w:val="242424"/>
            <w:sz w:val="20"/>
            <w:szCs w:val="20"/>
          </w:rPr>
        </w:pPr>
        <w:r w:rsidRPr="00FF2652">
          <w:rPr>
            <w:rFonts w:ascii="inherit" w:hAnsi="inherit"/>
            <w:color w:val="242424"/>
            <w:sz w:val="20"/>
            <w:szCs w:val="20"/>
            <w:bdr w:val="none" w:sz="0" w:space="0" w:color="auto" w:frame="1"/>
          </w:rPr>
          <w:t>Developed by </w:t>
        </w:r>
        <w:proofErr w:type="spellStart"/>
        <w:r w:rsidRPr="00FF2652">
          <w:rPr>
            <w:rFonts w:ascii="inherit" w:hAnsi="inherit"/>
            <w:i/>
            <w:iCs/>
            <w:color w:val="242424"/>
            <w:sz w:val="20"/>
            <w:szCs w:val="20"/>
            <w:bdr w:val="none" w:sz="0" w:space="0" w:color="auto" w:frame="1"/>
          </w:rPr>
          <w:t>the</w:t>
        </w:r>
        <w:r w:rsidRPr="00FF2652">
          <w:rPr>
            <w:rFonts w:ascii="inherit" w:hAnsi="inherit"/>
            <w:color w:val="242424"/>
            <w:sz w:val="20"/>
            <w:szCs w:val="20"/>
            <w:bdr w:val="none" w:sz="0" w:space="0" w:color="auto" w:frame="1"/>
          </w:rPr>
          <w:t>HoustonMuseum</w:t>
        </w:r>
        <w:r w:rsidRPr="00FF2652">
          <w:rPr>
            <w:rFonts w:ascii="inherit" w:hAnsi="inherit"/>
            <w:i/>
            <w:iCs/>
            <w:color w:val="242424"/>
            <w:sz w:val="20"/>
            <w:szCs w:val="20"/>
            <w:bdr w:val="none" w:sz="0" w:space="0" w:color="auto" w:frame="1"/>
          </w:rPr>
          <w:t>ofnaturalscience</w:t>
        </w:r>
        <w:proofErr w:type="spellEnd"/>
        <w:r w:rsidRPr="00FF2652">
          <w:rPr>
            <w:rFonts w:ascii="inherit" w:hAnsi="inherit"/>
            <w:color w:val="242424"/>
            <w:sz w:val="20"/>
            <w:szCs w:val="20"/>
            <w:bdr w:val="none" w:sz="0" w:space="0" w:color="auto" w:frame="1"/>
          </w:rPr>
          <w:t>. All rights reserved.</w:t>
        </w:r>
      </w:p>
      <w:p w14:paraId="7A1774E7" w14:textId="653D969E" w:rsidR="00E00557" w:rsidRDefault="00E00557">
        <w:pPr>
          <w:pStyle w:val="Footer"/>
          <w:jc w:val="right"/>
        </w:pPr>
        <w:r>
          <w:fldChar w:fldCharType="begin"/>
        </w:r>
        <w:r>
          <w:instrText xml:space="preserve"> PAGE   \* MERGEFORMAT </w:instrText>
        </w:r>
        <w:r>
          <w:fldChar w:fldCharType="separate"/>
        </w:r>
        <w:r w:rsidR="00371834">
          <w:rPr>
            <w:noProof/>
          </w:rPr>
          <w:t>10</w:t>
        </w:r>
        <w:r>
          <w:rPr>
            <w:noProof/>
          </w:rPr>
          <w:fldChar w:fldCharType="end"/>
        </w:r>
      </w:p>
    </w:sdtContent>
  </w:sdt>
  <w:p w14:paraId="70ECAEA3" w14:textId="77777777" w:rsidR="00E00557" w:rsidRDefault="00E00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933B" w14:textId="77777777" w:rsidR="00FF2652" w:rsidRDefault="00FF2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83BD" w14:textId="77777777" w:rsidR="00E226B2" w:rsidRDefault="00E226B2" w:rsidP="00791E5D">
      <w:pPr>
        <w:spacing w:after="0" w:line="240" w:lineRule="auto"/>
      </w:pPr>
      <w:r>
        <w:separator/>
      </w:r>
    </w:p>
  </w:footnote>
  <w:footnote w:type="continuationSeparator" w:id="0">
    <w:p w14:paraId="18366F8B" w14:textId="77777777" w:rsidR="00E226B2" w:rsidRDefault="00E226B2" w:rsidP="0079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3A16" w14:textId="77777777" w:rsidR="00FF2652" w:rsidRDefault="00FF2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18C0" w14:textId="69B47500" w:rsidR="00791E5D" w:rsidRPr="00791E5D" w:rsidRDefault="001E7A99" w:rsidP="001E7A99">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288B32E5" wp14:editId="7F2C33E9">
          <wp:extent cx="1213822" cy="685800"/>
          <wp:effectExtent l="0" t="0" r="5715" b="0"/>
          <wp:docPr id="1043572307" name="Picture 104357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r w:rsidR="00791E5D">
      <w:rPr>
        <w:rFonts w:ascii="Century Schoolbook" w:hAnsi="Century Schoolbook"/>
        <w:b/>
        <w:sz w:val="28"/>
        <w:szCs w:val="28"/>
      </w:rPr>
      <w:br/>
    </w:r>
    <w:proofErr w:type="spellStart"/>
    <w:r>
      <w:rPr>
        <w:rFonts w:ascii="Century Schoolbook" w:hAnsi="Century Schoolbook"/>
        <w:b/>
        <w:bCs/>
        <w:sz w:val="28"/>
        <w:szCs w:val="28"/>
      </w:rPr>
      <w:t>HoustonMuseum</w:t>
    </w:r>
    <w:r w:rsidRPr="00803B29">
      <w:rPr>
        <w:rFonts w:ascii="Century Schoolbook" w:hAnsi="Century Schoolbook"/>
        <w:b/>
        <w:bCs/>
        <w:i/>
        <w:sz w:val="28"/>
        <w:szCs w:val="28"/>
      </w:rPr>
      <w:t>ofNaturalScience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6DE0" w14:textId="77777777" w:rsidR="00FF2652" w:rsidRDefault="00FF2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48CF"/>
    <w:multiLevelType w:val="multilevel"/>
    <w:tmpl w:val="06788E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D2B70"/>
    <w:multiLevelType w:val="multilevel"/>
    <w:tmpl w:val="2350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93627"/>
    <w:multiLevelType w:val="multilevel"/>
    <w:tmpl w:val="7F22A2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C76D8"/>
    <w:multiLevelType w:val="hybridMultilevel"/>
    <w:tmpl w:val="E698FB98"/>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213673"/>
    <w:multiLevelType w:val="multilevel"/>
    <w:tmpl w:val="2FB0F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E5E3C"/>
    <w:multiLevelType w:val="multilevel"/>
    <w:tmpl w:val="EC563A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1D5FE2"/>
    <w:multiLevelType w:val="multilevel"/>
    <w:tmpl w:val="6A1ADB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547413"/>
    <w:multiLevelType w:val="hybridMultilevel"/>
    <w:tmpl w:val="E8F0064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59207C"/>
    <w:multiLevelType w:val="multilevel"/>
    <w:tmpl w:val="CCCE7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BA5A50"/>
    <w:multiLevelType w:val="hybridMultilevel"/>
    <w:tmpl w:val="CF66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1415720">
    <w:abstractNumId w:val="9"/>
  </w:num>
  <w:num w:numId="2" w16cid:durableId="932594451">
    <w:abstractNumId w:val="7"/>
  </w:num>
  <w:num w:numId="3" w16cid:durableId="351340699">
    <w:abstractNumId w:val="3"/>
  </w:num>
  <w:num w:numId="4" w16cid:durableId="1057626425">
    <w:abstractNumId w:val="1"/>
  </w:num>
  <w:num w:numId="5" w16cid:durableId="1239903821">
    <w:abstractNumId w:val="4"/>
  </w:num>
  <w:num w:numId="6" w16cid:durableId="276527033">
    <w:abstractNumId w:val="6"/>
  </w:num>
  <w:num w:numId="7" w16cid:durableId="1711417497">
    <w:abstractNumId w:val="5"/>
  </w:num>
  <w:num w:numId="8" w16cid:durableId="1392389032">
    <w:abstractNumId w:val="2"/>
  </w:num>
  <w:num w:numId="9" w16cid:durableId="805707299">
    <w:abstractNumId w:val="0"/>
  </w:num>
  <w:num w:numId="10" w16cid:durableId="1443527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01957"/>
    <w:rsid w:val="00017938"/>
    <w:rsid w:val="00032029"/>
    <w:rsid w:val="00036E82"/>
    <w:rsid w:val="00050C32"/>
    <w:rsid w:val="000515C8"/>
    <w:rsid w:val="00052639"/>
    <w:rsid w:val="00077201"/>
    <w:rsid w:val="000868FD"/>
    <w:rsid w:val="00091CB7"/>
    <w:rsid w:val="000942E3"/>
    <w:rsid w:val="000E0FD3"/>
    <w:rsid w:val="000E70E2"/>
    <w:rsid w:val="00101157"/>
    <w:rsid w:val="0010178F"/>
    <w:rsid w:val="00105ADA"/>
    <w:rsid w:val="00120F62"/>
    <w:rsid w:val="00121D23"/>
    <w:rsid w:val="001377E7"/>
    <w:rsid w:val="00140B53"/>
    <w:rsid w:val="00165401"/>
    <w:rsid w:val="00165F6F"/>
    <w:rsid w:val="00176CC6"/>
    <w:rsid w:val="00187564"/>
    <w:rsid w:val="001975BB"/>
    <w:rsid w:val="001A2F98"/>
    <w:rsid w:val="001A44E5"/>
    <w:rsid w:val="001A67D8"/>
    <w:rsid w:val="001C644B"/>
    <w:rsid w:val="001E718B"/>
    <w:rsid w:val="001E7A99"/>
    <w:rsid w:val="00200743"/>
    <w:rsid w:val="00213FC3"/>
    <w:rsid w:val="002161D3"/>
    <w:rsid w:val="0021730F"/>
    <w:rsid w:val="00221CA5"/>
    <w:rsid w:val="00224C4A"/>
    <w:rsid w:val="00240AED"/>
    <w:rsid w:val="00247B5E"/>
    <w:rsid w:val="00256DE9"/>
    <w:rsid w:val="002633F0"/>
    <w:rsid w:val="00265A66"/>
    <w:rsid w:val="0027543B"/>
    <w:rsid w:val="002872F9"/>
    <w:rsid w:val="002907C2"/>
    <w:rsid w:val="002A3260"/>
    <w:rsid w:val="002A4C0E"/>
    <w:rsid w:val="002B1552"/>
    <w:rsid w:val="002B5252"/>
    <w:rsid w:val="002D4E81"/>
    <w:rsid w:val="002E2016"/>
    <w:rsid w:val="002F26DD"/>
    <w:rsid w:val="002F59CA"/>
    <w:rsid w:val="003028FF"/>
    <w:rsid w:val="00313867"/>
    <w:rsid w:val="0032191D"/>
    <w:rsid w:val="00321F14"/>
    <w:rsid w:val="00327F6E"/>
    <w:rsid w:val="00343D2D"/>
    <w:rsid w:val="00343F9B"/>
    <w:rsid w:val="0036266F"/>
    <w:rsid w:val="0036350E"/>
    <w:rsid w:val="00371834"/>
    <w:rsid w:val="003834D5"/>
    <w:rsid w:val="00394718"/>
    <w:rsid w:val="003A2418"/>
    <w:rsid w:val="003C7E23"/>
    <w:rsid w:val="003D6F5C"/>
    <w:rsid w:val="003D76ED"/>
    <w:rsid w:val="003D7EBD"/>
    <w:rsid w:val="003E347D"/>
    <w:rsid w:val="003F43D1"/>
    <w:rsid w:val="00400211"/>
    <w:rsid w:val="00427518"/>
    <w:rsid w:val="004418CF"/>
    <w:rsid w:val="00443D97"/>
    <w:rsid w:val="00460028"/>
    <w:rsid w:val="00466903"/>
    <w:rsid w:val="004677AE"/>
    <w:rsid w:val="00470FF9"/>
    <w:rsid w:val="00472BE1"/>
    <w:rsid w:val="0047485A"/>
    <w:rsid w:val="00494FF3"/>
    <w:rsid w:val="004A2825"/>
    <w:rsid w:val="004A7992"/>
    <w:rsid w:val="004B4B45"/>
    <w:rsid w:val="004C1A29"/>
    <w:rsid w:val="004C3CE4"/>
    <w:rsid w:val="004D48E5"/>
    <w:rsid w:val="004E1EA2"/>
    <w:rsid w:val="004E4B7E"/>
    <w:rsid w:val="00503363"/>
    <w:rsid w:val="005114E3"/>
    <w:rsid w:val="00521358"/>
    <w:rsid w:val="00545F26"/>
    <w:rsid w:val="0055574A"/>
    <w:rsid w:val="00556F6A"/>
    <w:rsid w:val="00565571"/>
    <w:rsid w:val="00567E00"/>
    <w:rsid w:val="00570E76"/>
    <w:rsid w:val="00573E5E"/>
    <w:rsid w:val="0057404C"/>
    <w:rsid w:val="0058657E"/>
    <w:rsid w:val="00594309"/>
    <w:rsid w:val="00594777"/>
    <w:rsid w:val="00594B21"/>
    <w:rsid w:val="005B2EE7"/>
    <w:rsid w:val="005C4E33"/>
    <w:rsid w:val="005D3879"/>
    <w:rsid w:val="005D6D83"/>
    <w:rsid w:val="005E77DE"/>
    <w:rsid w:val="005F389C"/>
    <w:rsid w:val="00605E44"/>
    <w:rsid w:val="006153D5"/>
    <w:rsid w:val="006221BB"/>
    <w:rsid w:val="006221EE"/>
    <w:rsid w:val="006247DA"/>
    <w:rsid w:val="0064479D"/>
    <w:rsid w:val="00660BC4"/>
    <w:rsid w:val="00670139"/>
    <w:rsid w:val="0067372A"/>
    <w:rsid w:val="006B44A6"/>
    <w:rsid w:val="006E4E43"/>
    <w:rsid w:val="006F670B"/>
    <w:rsid w:val="006F6FC1"/>
    <w:rsid w:val="00700F13"/>
    <w:rsid w:val="00707D1F"/>
    <w:rsid w:val="0073573A"/>
    <w:rsid w:val="007428E8"/>
    <w:rsid w:val="00742DCB"/>
    <w:rsid w:val="007441CF"/>
    <w:rsid w:val="00750DBF"/>
    <w:rsid w:val="00753875"/>
    <w:rsid w:val="00757CC8"/>
    <w:rsid w:val="00761938"/>
    <w:rsid w:val="0078261A"/>
    <w:rsid w:val="00791E5D"/>
    <w:rsid w:val="007A7CB2"/>
    <w:rsid w:val="007B6668"/>
    <w:rsid w:val="007B75D0"/>
    <w:rsid w:val="007C64DE"/>
    <w:rsid w:val="007C6DD0"/>
    <w:rsid w:val="007E0E8F"/>
    <w:rsid w:val="007E1250"/>
    <w:rsid w:val="007E2C82"/>
    <w:rsid w:val="007E3EAE"/>
    <w:rsid w:val="007F20F3"/>
    <w:rsid w:val="007F2297"/>
    <w:rsid w:val="00823A97"/>
    <w:rsid w:val="00827CEA"/>
    <w:rsid w:val="008327D5"/>
    <w:rsid w:val="0085199C"/>
    <w:rsid w:val="00853960"/>
    <w:rsid w:val="00854C2E"/>
    <w:rsid w:val="00855300"/>
    <w:rsid w:val="00857E93"/>
    <w:rsid w:val="0086493F"/>
    <w:rsid w:val="0086683B"/>
    <w:rsid w:val="00870E90"/>
    <w:rsid w:val="00873738"/>
    <w:rsid w:val="008936AB"/>
    <w:rsid w:val="00893C21"/>
    <w:rsid w:val="00897A69"/>
    <w:rsid w:val="008A11A0"/>
    <w:rsid w:val="008A389F"/>
    <w:rsid w:val="008A558E"/>
    <w:rsid w:val="008D2686"/>
    <w:rsid w:val="008D77A2"/>
    <w:rsid w:val="008F165F"/>
    <w:rsid w:val="00912FF9"/>
    <w:rsid w:val="00915115"/>
    <w:rsid w:val="00921009"/>
    <w:rsid w:val="00940517"/>
    <w:rsid w:val="00954027"/>
    <w:rsid w:val="00956AD4"/>
    <w:rsid w:val="00963E2B"/>
    <w:rsid w:val="009A5826"/>
    <w:rsid w:val="009B6E85"/>
    <w:rsid w:val="009D37F9"/>
    <w:rsid w:val="009D46B6"/>
    <w:rsid w:val="00A00537"/>
    <w:rsid w:val="00A20F93"/>
    <w:rsid w:val="00A231B4"/>
    <w:rsid w:val="00A243B5"/>
    <w:rsid w:val="00A25621"/>
    <w:rsid w:val="00A2656D"/>
    <w:rsid w:val="00A30C93"/>
    <w:rsid w:val="00A3365A"/>
    <w:rsid w:val="00A33701"/>
    <w:rsid w:val="00A53522"/>
    <w:rsid w:val="00A73EDA"/>
    <w:rsid w:val="00A76DA1"/>
    <w:rsid w:val="00A8099F"/>
    <w:rsid w:val="00A905E8"/>
    <w:rsid w:val="00A946DB"/>
    <w:rsid w:val="00AC2B9D"/>
    <w:rsid w:val="00AD3AC5"/>
    <w:rsid w:val="00AE7BB1"/>
    <w:rsid w:val="00AF4B86"/>
    <w:rsid w:val="00AF4CF3"/>
    <w:rsid w:val="00B104C7"/>
    <w:rsid w:val="00B155AC"/>
    <w:rsid w:val="00B16C4D"/>
    <w:rsid w:val="00B3074A"/>
    <w:rsid w:val="00B36112"/>
    <w:rsid w:val="00B435C9"/>
    <w:rsid w:val="00B614DF"/>
    <w:rsid w:val="00B81AEB"/>
    <w:rsid w:val="00B86A20"/>
    <w:rsid w:val="00B92EBC"/>
    <w:rsid w:val="00BB09BA"/>
    <w:rsid w:val="00BE142D"/>
    <w:rsid w:val="00BE23A7"/>
    <w:rsid w:val="00C1278B"/>
    <w:rsid w:val="00C12ADA"/>
    <w:rsid w:val="00C33DCA"/>
    <w:rsid w:val="00C3501D"/>
    <w:rsid w:val="00C45868"/>
    <w:rsid w:val="00C51E35"/>
    <w:rsid w:val="00C655DC"/>
    <w:rsid w:val="00C8387F"/>
    <w:rsid w:val="00C93540"/>
    <w:rsid w:val="00C963F0"/>
    <w:rsid w:val="00CB06A6"/>
    <w:rsid w:val="00CD0933"/>
    <w:rsid w:val="00CE0354"/>
    <w:rsid w:val="00CE64AF"/>
    <w:rsid w:val="00CF062B"/>
    <w:rsid w:val="00CF420F"/>
    <w:rsid w:val="00D12410"/>
    <w:rsid w:val="00D248F6"/>
    <w:rsid w:val="00D55C3E"/>
    <w:rsid w:val="00D71FCB"/>
    <w:rsid w:val="00D75063"/>
    <w:rsid w:val="00D80E8C"/>
    <w:rsid w:val="00DB1AC7"/>
    <w:rsid w:val="00DC6361"/>
    <w:rsid w:val="00DC7C27"/>
    <w:rsid w:val="00DC7C9F"/>
    <w:rsid w:val="00DD7B07"/>
    <w:rsid w:val="00DE58B0"/>
    <w:rsid w:val="00DF1DD2"/>
    <w:rsid w:val="00DF2C64"/>
    <w:rsid w:val="00DF3025"/>
    <w:rsid w:val="00DF70BE"/>
    <w:rsid w:val="00E00557"/>
    <w:rsid w:val="00E122E9"/>
    <w:rsid w:val="00E1473F"/>
    <w:rsid w:val="00E1609F"/>
    <w:rsid w:val="00E16BEF"/>
    <w:rsid w:val="00E226B2"/>
    <w:rsid w:val="00E2776D"/>
    <w:rsid w:val="00E305B6"/>
    <w:rsid w:val="00E40882"/>
    <w:rsid w:val="00E45BC2"/>
    <w:rsid w:val="00E6491B"/>
    <w:rsid w:val="00E7113A"/>
    <w:rsid w:val="00E741AA"/>
    <w:rsid w:val="00E9169B"/>
    <w:rsid w:val="00E92E18"/>
    <w:rsid w:val="00E96573"/>
    <w:rsid w:val="00EB10F2"/>
    <w:rsid w:val="00EB24F5"/>
    <w:rsid w:val="00ED5C42"/>
    <w:rsid w:val="00EF3F06"/>
    <w:rsid w:val="00F04F6F"/>
    <w:rsid w:val="00F05EBF"/>
    <w:rsid w:val="00F135A9"/>
    <w:rsid w:val="00F222B2"/>
    <w:rsid w:val="00F23819"/>
    <w:rsid w:val="00F2672A"/>
    <w:rsid w:val="00F32C7C"/>
    <w:rsid w:val="00F36474"/>
    <w:rsid w:val="00F37D24"/>
    <w:rsid w:val="00F41204"/>
    <w:rsid w:val="00F50047"/>
    <w:rsid w:val="00F56079"/>
    <w:rsid w:val="00F60B36"/>
    <w:rsid w:val="00F84131"/>
    <w:rsid w:val="00F933B8"/>
    <w:rsid w:val="00FB453D"/>
    <w:rsid w:val="00FD024D"/>
    <w:rsid w:val="00FF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DBFF1"/>
  <w15:chartTrackingRefBased/>
  <w15:docId w15:val="{348506C6-516B-4326-BCE4-770ACB7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DA"/>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2B5252"/>
    <w:rPr>
      <w:sz w:val="16"/>
      <w:szCs w:val="16"/>
    </w:rPr>
  </w:style>
  <w:style w:type="paragraph" w:styleId="CommentText">
    <w:name w:val="annotation text"/>
    <w:basedOn w:val="Normal"/>
    <w:link w:val="CommentTextChar"/>
    <w:uiPriority w:val="99"/>
    <w:semiHidden/>
    <w:unhideWhenUsed/>
    <w:rsid w:val="002B5252"/>
    <w:pPr>
      <w:spacing w:line="240" w:lineRule="auto"/>
    </w:pPr>
    <w:rPr>
      <w:sz w:val="20"/>
      <w:szCs w:val="20"/>
    </w:rPr>
  </w:style>
  <w:style w:type="character" w:customStyle="1" w:styleId="CommentTextChar">
    <w:name w:val="Comment Text Char"/>
    <w:basedOn w:val="DefaultParagraphFont"/>
    <w:link w:val="CommentText"/>
    <w:uiPriority w:val="99"/>
    <w:semiHidden/>
    <w:rsid w:val="002B5252"/>
    <w:rPr>
      <w:sz w:val="20"/>
      <w:szCs w:val="20"/>
    </w:rPr>
  </w:style>
  <w:style w:type="paragraph" w:styleId="CommentSubject">
    <w:name w:val="annotation subject"/>
    <w:basedOn w:val="CommentText"/>
    <w:next w:val="CommentText"/>
    <w:link w:val="CommentSubjectChar"/>
    <w:uiPriority w:val="99"/>
    <w:semiHidden/>
    <w:unhideWhenUsed/>
    <w:rsid w:val="002B5252"/>
    <w:rPr>
      <w:b/>
      <w:bCs/>
    </w:rPr>
  </w:style>
  <w:style w:type="character" w:customStyle="1" w:styleId="CommentSubjectChar">
    <w:name w:val="Comment Subject Char"/>
    <w:basedOn w:val="CommentTextChar"/>
    <w:link w:val="CommentSubject"/>
    <w:uiPriority w:val="99"/>
    <w:semiHidden/>
    <w:rsid w:val="002B5252"/>
    <w:rPr>
      <w:b/>
      <w:bCs/>
      <w:sz w:val="20"/>
      <w:szCs w:val="20"/>
    </w:rPr>
  </w:style>
  <w:style w:type="paragraph" w:styleId="BalloonText">
    <w:name w:val="Balloon Text"/>
    <w:basedOn w:val="Normal"/>
    <w:link w:val="BalloonTextChar"/>
    <w:uiPriority w:val="99"/>
    <w:semiHidden/>
    <w:unhideWhenUsed/>
    <w:rsid w:val="002B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52"/>
    <w:rPr>
      <w:rFonts w:ascii="Segoe UI" w:hAnsi="Segoe UI" w:cs="Segoe UI"/>
      <w:sz w:val="18"/>
      <w:szCs w:val="18"/>
    </w:rPr>
  </w:style>
  <w:style w:type="character" w:styleId="Emphasis">
    <w:name w:val="Emphasis"/>
    <w:basedOn w:val="DefaultParagraphFont"/>
    <w:uiPriority w:val="20"/>
    <w:qFormat/>
    <w:rsid w:val="003E347D"/>
    <w:rPr>
      <w:i/>
      <w:iCs/>
    </w:rPr>
  </w:style>
  <w:style w:type="character" w:styleId="Strong">
    <w:name w:val="Strong"/>
    <w:uiPriority w:val="22"/>
    <w:qFormat/>
    <w:rsid w:val="00A905E8"/>
    <w:rPr>
      <w:rFonts w:ascii="Calibri" w:eastAsia="Times New Roman" w:hAnsi="Calibri" w:cs="Arial"/>
      <w:b/>
      <w:bCs/>
      <w:spacing w:val="14"/>
      <w:sz w:val="20"/>
      <w:szCs w:val="20"/>
    </w:rPr>
  </w:style>
  <w:style w:type="paragraph" w:customStyle="1" w:styleId="xxmsonormal">
    <w:name w:val="x_x_msonormal"/>
    <w:basedOn w:val="Normal"/>
    <w:rsid w:val="00AD3A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urriculum@hmns.org%0d%0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fae5a2-04aa-4f97-b506-f204a53d12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C45D815720E4BA9500F7BAEFB803F" ma:contentTypeVersion="16" ma:contentTypeDescription="Create a new document." ma:contentTypeScope="" ma:versionID="6d006133fa2f20980ad52231889a3ced">
  <xsd:schema xmlns:xsd="http://www.w3.org/2001/XMLSchema" xmlns:xs="http://www.w3.org/2001/XMLSchema" xmlns:p="http://schemas.microsoft.com/office/2006/metadata/properties" xmlns:ns3="73fae5a2-04aa-4f97-b506-f204a53d12c7" xmlns:ns4="56a57df2-2181-4903-b0fc-2a508fd244c7" targetNamespace="http://schemas.microsoft.com/office/2006/metadata/properties" ma:root="true" ma:fieldsID="3818e9d9c64089bae8e367ceba8f816c" ns3:_="" ns4:_="">
    <xsd:import namespace="73fae5a2-04aa-4f97-b506-f204a53d12c7"/>
    <xsd:import namespace="56a57df2-2181-4903-b0fc-2a508fd244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5a2-04aa-4f97-b506-f204a53d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57df2-2181-4903-b0fc-2a508fd24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29652-56A1-464E-8E23-BE8C835ECEA3}">
  <ds:schemaRefs>
    <ds:schemaRef ds:uri="http://schemas.microsoft.com/sharepoint/v3/contenttype/forms"/>
  </ds:schemaRefs>
</ds:datastoreItem>
</file>

<file path=customXml/itemProps2.xml><?xml version="1.0" encoding="utf-8"?>
<ds:datastoreItem xmlns:ds="http://schemas.openxmlformats.org/officeDocument/2006/customXml" ds:itemID="{0A046492-E703-4AAB-92C5-E348407109F1}">
  <ds:schemaRefs>
    <ds:schemaRef ds:uri="http://schemas.microsoft.com/office/2006/metadata/properties"/>
    <ds:schemaRef ds:uri="http://schemas.microsoft.com/office/infopath/2007/PartnerControls"/>
    <ds:schemaRef ds:uri="73fae5a2-04aa-4f97-b506-f204a53d12c7"/>
  </ds:schemaRefs>
</ds:datastoreItem>
</file>

<file path=customXml/itemProps3.xml><?xml version="1.0" encoding="utf-8"?>
<ds:datastoreItem xmlns:ds="http://schemas.openxmlformats.org/officeDocument/2006/customXml" ds:itemID="{14D895D5-2F50-45AF-8A00-6AC202AE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5a2-04aa-4f97-b506-f204a53d12c7"/>
    <ds:schemaRef ds:uri="56a57df2-2181-4903-b0fc-2a508fd2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6128</Characters>
  <Application>Microsoft Office Word</Application>
  <DocSecurity>0</DocSecurity>
  <Lines>110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Honard</dc:creator>
  <cp:keywords/>
  <dc:description/>
  <cp:lastModifiedBy>Kathleen Havens</cp:lastModifiedBy>
  <cp:revision>5</cp:revision>
  <cp:lastPrinted>2023-09-05T16:50:00Z</cp:lastPrinted>
  <dcterms:created xsi:type="dcterms:W3CDTF">2026-02-12T16:18:00Z</dcterms:created>
  <dcterms:modified xsi:type="dcterms:W3CDTF">2026-02-12T21:19:00Z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0x01010010DC45D815720E4BA9500F7BAEFB803F</vt:lpwstr>
  </property>
  <property fmtid="{D5CDD505-2E9C-101B-9397-08002B2CF9AE}" pid="3" name="GrammarlyDocumentId">
    <vt:lpwstr>fb7c9c4ad9f7b4905e8e0fb1b85623bcfc39a3cb32d67fcbd38df33537f03457</vt:lpwstr>
  </property>
</Properties>
</file>